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881F" w14:textId="77777777" w:rsidR="00475EF3" w:rsidRDefault="00475EF3" w:rsidP="00475EF3">
      <w:pPr>
        <w:spacing w:before="225" w:after="225" w:line="480" w:lineRule="atLeast"/>
        <w:outlineLvl w:val="0"/>
        <w:rPr>
          <w:rFonts w:ascii="Arial" w:hAnsi="Arial" w:cs="Arial"/>
          <w:color w:val="292929"/>
          <w:kern w:val="36"/>
          <w:sz w:val="45"/>
          <w:szCs w:val="45"/>
        </w:rPr>
      </w:pPr>
      <w:r>
        <w:rPr>
          <w:rFonts w:ascii="Arial" w:hAnsi="Arial" w:cs="Arial"/>
          <w:color w:val="292929"/>
          <w:kern w:val="36"/>
          <w:sz w:val="45"/>
          <w:szCs w:val="45"/>
        </w:rPr>
        <w:t>Esonero contributivo e termini di versamento dei contributi: scheda di sintesi</w:t>
      </w:r>
    </w:p>
    <w:p w14:paraId="7E9A0B83" w14:textId="77777777" w:rsidR="00475EF3" w:rsidRDefault="00475EF3" w:rsidP="00475EF3">
      <w:pPr>
        <w:spacing w:after="225"/>
        <w:jc w:val="both"/>
        <w:rPr>
          <w:rFonts w:ascii="Roboto" w:hAnsi="Roboto"/>
          <w:color w:val="454545"/>
        </w:rPr>
      </w:pPr>
      <w:r>
        <w:rPr>
          <w:rFonts w:ascii="Roboto" w:hAnsi="Roboto"/>
          <w:color w:val="454545"/>
        </w:rPr>
        <w:t>Come noto, in considerazione degli effetti della crisi connessa all’emergenza da </w:t>
      </w:r>
      <w:r>
        <w:rPr>
          <w:rFonts w:ascii="Roboto" w:hAnsi="Roboto"/>
          <w:b/>
          <w:bCs/>
          <w:color w:val="454545"/>
        </w:rPr>
        <w:t>Covid-19</w:t>
      </w:r>
      <w:r>
        <w:rPr>
          <w:rFonts w:ascii="Roboto" w:hAnsi="Roboto"/>
          <w:color w:val="454545"/>
        </w:rPr>
        <w:t>, l’</w:t>
      </w:r>
      <w:hyperlink r:id="rId8" w:tgtFrame="_blank" w:history="1">
        <w:r>
          <w:rPr>
            <w:rStyle w:val="Collegamentoipertestuale"/>
            <w:rFonts w:ascii="Roboto" w:hAnsi="Roboto"/>
            <w:b/>
            <w:bCs/>
            <w:color w:val="006CBA"/>
          </w:rPr>
          <w:t>articolo 1, comma 20, L. 178/2020</w:t>
        </w:r>
      </w:hyperlink>
      <w:r>
        <w:rPr>
          <w:rFonts w:ascii="Roboto" w:hAnsi="Roboto"/>
          <w:color w:val="454545"/>
        </w:rPr>
        <w:t> (Legge di bilancio 2021) ha previsto un </w:t>
      </w:r>
      <w:r>
        <w:rPr>
          <w:rFonts w:ascii="Roboto" w:hAnsi="Roboto"/>
          <w:b/>
          <w:bCs/>
          <w:color w:val="454545"/>
        </w:rPr>
        <w:t>esonero parziale</w:t>
      </w:r>
      <w:r>
        <w:rPr>
          <w:rFonts w:ascii="Roboto" w:hAnsi="Roboto"/>
          <w:color w:val="454545"/>
        </w:rPr>
        <w:t>, nel limite massimo individuale di </w:t>
      </w:r>
      <w:r>
        <w:rPr>
          <w:rFonts w:ascii="Roboto" w:hAnsi="Roboto"/>
          <w:b/>
          <w:bCs/>
          <w:color w:val="454545"/>
        </w:rPr>
        <w:t>3.000 euro</w:t>
      </w:r>
      <w:r>
        <w:rPr>
          <w:rFonts w:ascii="Roboto" w:hAnsi="Roboto"/>
          <w:color w:val="454545"/>
        </w:rPr>
        <w:t> su base annua, dal </w:t>
      </w:r>
      <w:r>
        <w:rPr>
          <w:rFonts w:ascii="Roboto" w:hAnsi="Roboto"/>
          <w:b/>
          <w:bCs/>
          <w:color w:val="454545"/>
        </w:rPr>
        <w:t>pagamento dei contributi previdenziali</w:t>
      </w:r>
      <w:r>
        <w:rPr>
          <w:rFonts w:ascii="Roboto" w:hAnsi="Roboto"/>
          <w:color w:val="454545"/>
        </w:rPr>
        <w:t> dovuti dai lavoratori autonomi e dai professionisti iscritti alle </w:t>
      </w:r>
      <w:r>
        <w:rPr>
          <w:rFonts w:ascii="Roboto" w:hAnsi="Roboto"/>
          <w:b/>
          <w:bCs/>
          <w:color w:val="454545"/>
        </w:rPr>
        <w:t>gestioni previdenziali dell’Inps</w:t>
      </w:r>
      <w:r>
        <w:rPr>
          <w:rFonts w:ascii="Roboto" w:hAnsi="Roboto"/>
          <w:color w:val="454545"/>
        </w:rPr>
        <w:t> e dai </w:t>
      </w:r>
      <w:r>
        <w:rPr>
          <w:rFonts w:ascii="Roboto" w:hAnsi="Roboto"/>
          <w:b/>
          <w:bCs/>
          <w:color w:val="454545"/>
        </w:rPr>
        <w:t>professionisti iscritti alle Casse private</w:t>
      </w:r>
      <w:r>
        <w:rPr>
          <w:rFonts w:ascii="Roboto" w:hAnsi="Roboto"/>
          <w:color w:val="454545"/>
        </w:rPr>
        <w:t>.</w:t>
      </w:r>
    </w:p>
    <w:p w14:paraId="76B8A356" w14:textId="77777777" w:rsidR="00475EF3" w:rsidRDefault="00475EF3" w:rsidP="00475EF3">
      <w:pPr>
        <w:spacing w:after="225"/>
        <w:jc w:val="both"/>
        <w:rPr>
          <w:rFonts w:ascii="Roboto" w:hAnsi="Roboto"/>
          <w:color w:val="454545"/>
        </w:rPr>
      </w:pPr>
      <w:r>
        <w:rPr>
          <w:rFonts w:ascii="Roboto" w:hAnsi="Roboto"/>
          <w:color w:val="454545"/>
        </w:rPr>
        <w:t>Più precisamente, l’esonero spetta ai lavoratori:</w:t>
      </w:r>
    </w:p>
    <w:p w14:paraId="245F1919" w14:textId="77777777" w:rsidR="00475EF3" w:rsidRDefault="00475EF3" w:rsidP="00475EF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Roboto" w:hAnsi="Roboto"/>
          <w:color w:val="454545"/>
        </w:rPr>
      </w:pPr>
      <w:r>
        <w:rPr>
          <w:rFonts w:ascii="Roboto" w:hAnsi="Roboto"/>
          <w:color w:val="454545"/>
        </w:rPr>
        <w:t>che </w:t>
      </w:r>
      <w:r>
        <w:rPr>
          <w:rFonts w:ascii="Roboto" w:hAnsi="Roboto"/>
          <w:b/>
          <w:bCs/>
          <w:color w:val="454545"/>
        </w:rPr>
        <w:t>hanno percepito nel periodo d’imposta 2019</w:t>
      </w:r>
      <w:r>
        <w:rPr>
          <w:rFonts w:ascii="Roboto" w:hAnsi="Roboto"/>
          <w:color w:val="454545"/>
        </w:rPr>
        <w:t> un </w:t>
      </w:r>
      <w:r>
        <w:rPr>
          <w:rFonts w:ascii="Roboto" w:hAnsi="Roboto"/>
          <w:b/>
          <w:bCs/>
          <w:color w:val="454545"/>
        </w:rPr>
        <w:t>reddito complessivo non superiore a 50.000 euro,</w:t>
      </w:r>
    </w:p>
    <w:p w14:paraId="6F529B7C" w14:textId="77777777" w:rsidR="00475EF3" w:rsidRDefault="00475EF3" w:rsidP="00475EF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Roboto" w:hAnsi="Roboto"/>
          <w:color w:val="454545"/>
        </w:rPr>
      </w:pPr>
      <w:r>
        <w:rPr>
          <w:rFonts w:ascii="Roboto" w:hAnsi="Roboto"/>
          <w:color w:val="454545"/>
        </w:rPr>
        <w:t>e che </w:t>
      </w:r>
      <w:r>
        <w:rPr>
          <w:rFonts w:ascii="Roboto" w:hAnsi="Roboto"/>
          <w:b/>
          <w:bCs/>
          <w:color w:val="454545"/>
        </w:rPr>
        <w:t>hanno subito un calo del fatturato</w:t>
      </w:r>
      <w:r>
        <w:rPr>
          <w:rFonts w:ascii="Roboto" w:hAnsi="Roboto"/>
          <w:color w:val="454545"/>
        </w:rPr>
        <w:t> o dei corrispettivi nell’anno 2020 </w:t>
      </w:r>
      <w:r>
        <w:rPr>
          <w:rFonts w:ascii="Roboto" w:hAnsi="Roboto"/>
          <w:b/>
          <w:bCs/>
          <w:color w:val="454545"/>
        </w:rPr>
        <w:t>non inferiore al 33% rispetto a quelli dell’anno 2019</w:t>
      </w:r>
      <w:r>
        <w:rPr>
          <w:rFonts w:ascii="Roboto" w:hAnsi="Roboto"/>
          <w:color w:val="454545"/>
        </w:rPr>
        <w:t>.</w:t>
      </w:r>
    </w:p>
    <w:p w14:paraId="4F23E838" w14:textId="77777777" w:rsidR="00475EF3" w:rsidRDefault="00475EF3" w:rsidP="00475EF3">
      <w:pPr>
        <w:spacing w:after="225"/>
        <w:jc w:val="both"/>
        <w:rPr>
          <w:rFonts w:ascii="Roboto" w:hAnsi="Roboto"/>
          <w:color w:val="454545"/>
        </w:rPr>
      </w:pPr>
      <w:r>
        <w:rPr>
          <w:rFonts w:ascii="Roboto" w:hAnsi="Roboto"/>
          <w:color w:val="454545"/>
        </w:rPr>
        <w:t>I criteri e le modalità per la </w:t>
      </w:r>
      <w:r>
        <w:rPr>
          <w:rFonts w:ascii="Roboto" w:hAnsi="Roboto"/>
          <w:b/>
          <w:bCs/>
          <w:color w:val="454545"/>
        </w:rPr>
        <w:t>concessione dell’esonero in esame</w:t>
      </w:r>
      <w:r>
        <w:rPr>
          <w:rFonts w:ascii="Roboto" w:hAnsi="Roboto"/>
          <w:color w:val="454545"/>
        </w:rPr>
        <w:t> sono stati demandati ad un apposito </w:t>
      </w:r>
      <w:r>
        <w:rPr>
          <w:rFonts w:ascii="Roboto" w:hAnsi="Roboto"/>
          <w:b/>
          <w:bCs/>
          <w:color w:val="454545"/>
        </w:rPr>
        <w:t>decreto del Ministero del Lavoro e delle politiche sociali</w:t>
      </w:r>
      <w:r>
        <w:rPr>
          <w:rFonts w:ascii="Roboto" w:hAnsi="Roboto"/>
          <w:color w:val="454545"/>
        </w:rPr>
        <w:t>, di concerto con il Ministro dell’Economia e delle finanze: il suddetto </w:t>
      </w:r>
      <w:r>
        <w:rPr>
          <w:rFonts w:ascii="Roboto" w:hAnsi="Roboto"/>
          <w:b/>
          <w:bCs/>
          <w:color w:val="454545"/>
        </w:rPr>
        <w:t>decreto</w:t>
      </w:r>
      <w:r>
        <w:rPr>
          <w:rFonts w:ascii="Roboto" w:hAnsi="Roboto"/>
          <w:color w:val="454545"/>
        </w:rPr>
        <w:t>, però, è stato pubblicato sul sito internet del Ministero del Lavoro e delle politiche sociali soltanto lo scorso </w:t>
      </w:r>
      <w:r>
        <w:rPr>
          <w:rFonts w:ascii="Roboto" w:hAnsi="Roboto"/>
          <w:b/>
          <w:bCs/>
          <w:color w:val="454545"/>
        </w:rPr>
        <w:t>27 luglio</w:t>
      </w:r>
      <w:r>
        <w:rPr>
          <w:rFonts w:ascii="Roboto" w:hAnsi="Roboto"/>
          <w:color w:val="454545"/>
        </w:rPr>
        <w:t>.</w:t>
      </w:r>
    </w:p>
    <w:p w14:paraId="2F909612" w14:textId="77777777" w:rsidR="00475EF3" w:rsidRDefault="00475EF3" w:rsidP="00475EF3">
      <w:pPr>
        <w:spacing w:after="225"/>
        <w:jc w:val="both"/>
        <w:rPr>
          <w:rFonts w:ascii="Roboto" w:hAnsi="Roboto"/>
          <w:color w:val="454545"/>
        </w:rPr>
      </w:pPr>
      <w:r>
        <w:rPr>
          <w:rFonts w:ascii="Roboto" w:hAnsi="Roboto"/>
          <w:color w:val="454545"/>
        </w:rPr>
        <w:t>Il decreto pubblicato prevedeva </w:t>
      </w:r>
      <w:r>
        <w:rPr>
          <w:rFonts w:ascii="Roboto" w:hAnsi="Roboto"/>
          <w:b/>
          <w:bCs/>
          <w:color w:val="454545"/>
        </w:rPr>
        <w:t>l’invio di apposita domanda all’Inps</w:t>
      </w:r>
      <w:r>
        <w:rPr>
          <w:rFonts w:ascii="Roboto" w:hAnsi="Roboto"/>
          <w:color w:val="454545"/>
        </w:rPr>
        <w:t>, da presentare, pena </w:t>
      </w:r>
      <w:r>
        <w:rPr>
          <w:rFonts w:ascii="Roboto" w:hAnsi="Roboto"/>
          <w:b/>
          <w:bCs/>
          <w:color w:val="454545"/>
        </w:rPr>
        <w:t>decadenza</w:t>
      </w:r>
      <w:r>
        <w:rPr>
          <w:rFonts w:ascii="Roboto" w:hAnsi="Roboto"/>
          <w:color w:val="454545"/>
        </w:rPr>
        <w:t>, entro il </w:t>
      </w:r>
      <w:r>
        <w:rPr>
          <w:rFonts w:ascii="Roboto" w:hAnsi="Roboto"/>
          <w:b/>
          <w:bCs/>
          <w:color w:val="454545"/>
        </w:rPr>
        <w:t>31 luglio 2021</w:t>
      </w:r>
      <w:r>
        <w:rPr>
          <w:rFonts w:ascii="Roboto" w:hAnsi="Roboto"/>
          <w:color w:val="454545"/>
        </w:rPr>
        <w:t>.</w:t>
      </w:r>
    </w:p>
    <w:p w14:paraId="58D9EF54" w14:textId="77777777" w:rsidR="00475EF3" w:rsidRDefault="00475EF3" w:rsidP="00475EF3">
      <w:pPr>
        <w:spacing w:after="225"/>
        <w:jc w:val="both"/>
        <w:rPr>
          <w:rFonts w:ascii="Roboto" w:hAnsi="Roboto"/>
          <w:color w:val="454545"/>
        </w:rPr>
      </w:pPr>
      <w:r>
        <w:rPr>
          <w:rFonts w:ascii="Roboto" w:hAnsi="Roboto"/>
          <w:color w:val="454545"/>
        </w:rPr>
        <w:t>Con il </w:t>
      </w:r>
      <w:hyperlink r:id="rId9" w:tgtFrame="_blank" w:history="1">
        <w:r>
          <w:rPr>
            <w:rStyle w:val="Collegamentoipertestuale"/>
            <w:rFonts w:ascii="Roboto" w:hAnsi="Roboto"/>
            <w:b/>
            <w:bCs/>
            <w:color w:val="006CBA"/>
          </w:rPr>
          <w:t>messaggio Inps n. 2761 del 29.07.2021</w:t>
        </w:r>
      </w:hyperlink>
      <w:r>
        <w:rPr>
          <w:rFonts w:ascii="Roboto" w:hAnsi="Roboto"/>
          <w:color w:val="454545"/>
        </w:rPr>
        <w:t>, però, il suddetto termine è stato </w:t>
      </w:r>
      <w:r>
        <w:rPr>
          <w:rFonts w:ascii="Roboto" w:hAnsi="Roboto"/>
          <w:b/>
          <w:bCs/>
          <w:color w:val="454545"/>
        </w:rPr>
        <w:t>rinviato</w:t>
      </w:r>
      <w:r>
        <w:rPr>
          <w:rFonts w:ascii="Roboto" w:hAnsi="Roboto"/>
          <w:color w:val="454545"/>
        </w:rPr>
        <w:t> al </w:t>
      </w:r>
      <w:r>
        <w:rPr>
          <w:rFonts w:ascii="Roboto" w:hAnsi="Roboto"/>
          <w:b/>
          <w:bCs/>
          <w:color w:val="454545"/>
        </w:rPr>
        <w:t>30 settembre 2021</w:t>
      </w:r>
      <w:r>
        <w:rPr>
          <w:rFonts w:ascii="Roboto" w:hAnsi="Roboto"/>
          <w:color w:val="454545"/>
        </w:rPr>
        <w:t>: l’Inps ha inoltre annunciato </w:t>
      </w:r>
      <w:r>
        <w:rPr>
          <w:rFonts w:ascii="Roboto" w:hAnsi="Roboto"/>
          <w:b/>
          <w:bCs/>
          <w:color w:val="454545"/>
        </w:rPr>
        <w:t>l’imminente pubblicazione di una circolare</w:t>
      </w:r>
      <w:r>
        <w:rPr>
          <w:rFonts w:ascii="Roboto" w:hAnsi="Roboto"/>
          <w:color w:val="454545"/>
        </w:rPr>
        <w:t> che definirà le </w:t>
      </w:r>
      <w:r>
        <w:rPr>
          <w:rFonts w:ascii="Roboto" w:hAnsi="Roboto"/>
          <w:b/>
          <w:bCs/>
          <w:color w:val="454545"/>
        </w:rPr>
        <w:t>modalità di presentazione della domanda di esonero</w:t>
      </w:r>
      <w:r>
        <w:rPr>
          <w:rFonts w:ascii="Roboto" w:hAnsi="Roboto"/>
          <w:color w:val="454545"/>
        </w:rPr>
        <w:t>.</w:t>
      </w:r>
    </w:p>
    <w:p w14:paraId="3BBF4B99" w14:textId="77777777" w:rsidR="00475EF3" w:rsidRDefault="00475EF3" w:rsidP="00475EF3">
      <w:pPr>
        <w:spacing w:after="225"/>
        <w:jc w:val="both"/>
        <w:rPr>
          <w:rFonts w:ascii="Roboto" w:hAnsi="Roboto"/>
          <w:color w:val="454545"/>
        </w:rPr>
      </w:pPr>
      <w:r>
        <w:rPr>
          <w:rFonts w:ascii="Roboto" w:hAnsi="Roboto"/>
          <w:color w:val="454545"/>
        </w:rPr>
        <w:t>Con riferimento, invece, ai termini concessi ai </w:t>
      </w:r>
      <w:r>
        <w:rPr>
          <w:rFonts w:ascii="Roboto" w:hAnsi="Roboto"/>
          <w:b/>
          <w:bCs/>
          <w:color w:val="454545"/>
        </w:rPr>
        <w:t>professionisti</w:t>
      </w:r>
      <w:r>
        <w:rPr>
          <w:rFonts w:ascii="Roboto" w:hAnsi="Roboto"/>
          <w:color w:val="454545"/>
        </w:rPr>
        <w:t>, va evidenziato che l’articolo 3 del decreto in esame individua il termine di invio delle domande nel </w:t>
      </w:r>
      <w:r>
        <w:rPr>
          <w:rFonts w:ascii="Roboto" w:hAnsi="Roboto"/>
          <w:b/>
          <w:bCs/>
          <w:color w:val="454545"/>
        </w:rPr>
        <w:t>31 ottobre 2021</w:t>
      </w:r>
      <w:r>
        <w:rPr>
          <w:rFonts w:ascii="Roboto" w:hAnsi="Roboto"/>
          <w:color w:val="454545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5"/>
        <w:gridCol w:w="7557"/>
      </w:tblGrid>
      <w:tr w:rsidR="00475EF3" w14:paraId="20541AAF" w14:textId="77777777" w:rsidTr="00475EF3"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4C3FD81" w14:textId="77777777" w:rsidR="00475EF3" w:rsidRDefault="00475EF3">
            <w:pPr>
              <w:spacing w:before="300" w:after="300"/>
            </w:pPr>
            <w:r>
              <w:rPr>
                <w:b/>
                <w:bCs/>
              </w:rPr>
              <w:t>Potenziali beneficiari</w:t>
            </w:r>
          </w:p>
        </w:tc>
        <w:tc>
          <w:tcPr>
            <w:tcW w:w="7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DE11E4B" w14:textId="77777777" w:rsidR="00475EF3" w:rsidRDefault="00475EF3">
            <w:pPr>
              <w:spacing w:before="300" w:after="300"/>
            </w:pPr>
            <w:r>
              <w:t>a) </w:t>
            </w:r>
            <w:r>
              <w:rPr>
                <w:b/>
                <w:bCs/>
              </w:rPr>
              <w:t>Lavoratori iscritti alle gestioni speciali dell’AGO </w:t>
            </w:r>
            <w:r>
              <w:t>– gestioni autonome speciali degli artigiani e degli esercenti attività commerciali, dei coltivatori diretti, coloni e mezzadri – e </w:t>
            </w:r>
            <w:r>
              <w:rPr>
                <w:b/>
                <w:bCs/>
              </w:rPr>
              <w:t>lavoratori iscritti alla Gestione separata</w:t>
            </w:r>
            <w:r>
              <w:t> e che dichiarano redditi ai sensi dell’</w:t>
            </w:r>
            <w:hyperlink r:id="rId10" w:tgtFrame="_blank" w:history="1">
              <w:r>
                <w:rPr>
                  <w:rStyle w:val="Collegamentoipertestuale"/>
                  <w:b/>
                  <w:bCs/>
                  <w:color w:val="006CBA"/>
                </w:rPr>
                <w:t>articolo 53, comma 1, Tuir</w:t>
              </w:r>
            </w:hyperlink>
            <w:r>
              <w:t>. Sono compresi i </w:t>
            </w:r>
            <w:r>
              <w:rPr>
                <w:b/>
                <w:bCs/>
              </w:rPr>
              <w:t>lavoratori soci di società e i professionisti componenti di studio associato</w:t>
            </w:r>
            <w:r>
              <w:t>.</w:t>
            </w:r>
            <w:r>
              <w:br/>
              <w:t>b) Professionisti iscritti agli </w:t>
            </w:r>
            <w:r>
              <w:rPr>
                <w:b/>
                <w:bCs/>
              </w:rPr>
              <w:t xml:space="preserve">enti gestori di forme obbligatorie di </w:t>
            </w:r>
            <w:r>
              <w:rPr>
                <w:b/>
                <w:bCs/>
              </w:rPr>
              <w:lastRenderedPageBreak/>
              <w:t>previdenza e assistenza </w:t>
            </w:r>
            <w:r>
              <w:t>di cui al </w:t>
            </w:r>
            <w:proofErr w:type="spellStart"/>
            <w:r>
              <w:rPr>
                <w:b/>
                <w:bCs/>
              </w:rPr>
              <w:t>D.Lgs.</w:t>
            </w:r>
            <w:proofErr w:type="spellEnd"/>
            <w:r>
              <w:rPr>
                <w:b/>
                <w:bCs/>
              </w:rPr>
              <w:t xml:space="preserve"> 509/1994</w:t>
            </w:r>
            <w:r>
              <w:t> (a mero titolo esemplificativo: cassa forense, CNPADC – ora CDC, ENPACL) e </w:t>
            </w:r>
            <w:proofErr w:type="spellStart"/>
            <w:r>
              <w:rPr>
                <w:b/>
                <w:bCs/>
              </w:rPr>
              <w:t>D.Lgs.</w:t>
            </w:r>
            <w:proofErr w:type="spellEnd"/>
            <w:r>
              <w:rPr>
                <w:b/>
                <w:bCs/>
              </w:rPr>
              <w:t xml:space="preserve"> 103/1996</w:t>
            </w:r>
            <w:r>
              <w:t> (casse istituite per i professionisti iscritti agli Albi, ma privi di una cassa previdenziale di categoria, ad esempio biologi e psicologi).</w:t>
            </w:r>
            <w:r>
              <w:br/>
              <w:t>Rientrano tra i beneficiari anche i </w:t>
            </w:r>
            <w:r>
              <w:rPr>
                <w:b/>
                <w:bCs/>
              </w:rPr>
              <w:t>medici, gli infermieri e gli altri professionisti</w:t>
            </w:r>
            <w:r>
              <w:t> e operatori di cui alla </w:t>
            </w:r>
            <w:r>
              <w:rPr>
                <w:b/>
                <w:bCs/>
              </w:rPr>
              <w:t>L. 3/2018</w:t>
            </w:r>
            <w:r>
              <w:t>, già collocati in </w:t>
            </w:r>
            <w:r>
              <w:rPr>
                <w:b/>
                <w:bCs/>
              </w:rPr>
              <w:t>quiescenza</w:t>
            </w:r>
            <w:r>
              <w:t> e assunti per l’emergenza derivante dalla </w:t>
            </w:r>
            <w:r>
              <w:rPr>
                <w:b/>
                <w:bCs/>
              </w:rPr>
              <w:t>diffusione del Covid-19</w:t>
            </w:r>
            <w:r>
              <w:t>, ai quali, tuttavia, il decreto riserva </w:t>
            </w:r>
            <w:r>
              <w:rPr>
                <w:b/>
                <w:bCs/>
              </w:rPr>
              <w:t>previsioni specifiche </w:t>
            </w:r>
            <w:r>
              <w:t>non oggetto di analisi nel presente contributo.</w:t>
            </w:r>
          </w:p>
        </w:tc>
      </w:tr>
      <w:tr w:rsidR="00475EF3" w14:paraId="4D6C1D1F" w14:textId="77777777" w:rsidTr="00475EF3"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5907394" w14:textId="77777777" w:rsidR="00475EF3" w:rsidRDefault="00475EF3">
            <w:pPr>
              <w:spacing w:before="300" w:after="300"/>
            </w:pPr>
            <w:r>
              <w:rPr>
                <w:b/>
                <w:bCs/>
              </w:rPr>
              <w:lastRenderedPageBreak/>
              <w:t>Soggetti esclusi</w:t>
            </w:r>
          </w:p>
        </w:tc>
        <w:tc>
          <w:tcPr>
            <w:tcW w:w="7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1AEE3F6" w14:textId="77777777" w:rsidR="00475EF3" w:rsidRDefault="00475EF3">
            <w:pPr>
              <w:spacing w:before="300" w:after="300"/>
            </w:pPr>
            <w:r>
              <w:t>– </w:t>
            </w:r>
            <w:r>
              <w:rPr>
                <w:b/>
                <w:bCs/>
              </w:rPr>
              <w:t>Titolari di contratto di lavoro subordinato</w:t>
            </w:r>
            <w:r>
              <w:t> (per il periodo oggetto di esonero), con esclusione del contratto di lavoro intermittente senza diritto all’indennità di disponibilità.</w:t>
            </w:r>
            <w:r>
              <w:br/>
              <w:t>– </w:t>
            </w:r>
            <w:r>
              <w:rPr>
                <w:b/>
                <w:bCs/>
              </w:rPr>
              <w:t>Titolari di pensione diretta</w:t>
            </w:r>
            <w:r>
              <w:t>, diversa dall’assegno ordinario di invalidità o altro emolumento che risponda alle medesime finalità.</w:t>
            </w:r>
          </w:p>
        </w:tc>
      </w:tr>
      <w:tr w:rsidR="00475EF3" w14:paraId="7F1B1C67" w14:textId="77777777" w:rsidTr="00475EF3"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7A61669" w14:textId="77777777" w:rsidR="00475EF3" w:rsidRDefault="00475EF3">
            <w:pPr>
              <w:spacing w:before="300" w:after="300"/>
            </w:pPr>
            <w:r>
              <w:rPr>
                <w:b/>
                <w:bCs/>
              </w:rPr>
              <w:t>Condizion</w:t>
            </w:r>
            <w:r>
              <w:t>i</w:t>
            </w:r>
          </w:p>
        </w:tc>
        <w:tc>
          <w:tcPr>
            <w:tcW w:w="7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9B6A66A" w14:textId="77777777" w:rsidR="00475EF3" w:rsidRDefault="00475EF3">
            <w:pPr>
              <w:spacing w:before="300" w:after="300"/>
            </w:pPr>
            <w:r>
              <w:t>È necessario possedere </w:t>
            </w:r>
            <w:r>
              <w:rPr>
                <w:b/>
                <w:bCs/>
              </w:rPr>
              <w:t>entrambi i seguenti requisiti:</w:t>
            </w:r>
            <w:r>
              <w:br/>
              <w:t>a) </w:t>
            </w:r>
            <w:r>
              <w:rPr>
                <w:b/>
                <w:bCs/>
              </w:rPr>
              <w:t>calo del fatturato o dei corrispettivi nell’anno 2020</w:t>
            </w:r>
            <w:r>
              <w:t> non inferiore al </w:t>
            </w:r>
            <w:r>
              <w:rPr>
                <w:b/>
                <w:bCs/>
              </w:rPr>
              <w:t>33%</w:t>
            </w:r>
            <w:r>
              <w:t> rispetto a quelli dell’anno 2019;</w:t>
            </w:r>
            <w:r>
              <w:br/>
              <w:t>b) </w:t>
            </w:r>
            <w:r>
              <w:rPr>
                <w:b/>
                <w:bCs/>
              </w:rPr>
              <w:t>reddito complessivo di lavoro</w:t>
            </w:r>
            <w:r>
              <w:t> (o derivante dall’attività che comporta l’iscrizione alla gestione) </w:t>
            </w:r>
            <w:r>
              <w:rPr>
                <w:b/>
                <w:bCs/>
              </w:rPr>
              <w:t>non superiore a 50.000 euro</w:t>
            </w:r>
            <w:r>
              <w:t> nel periodo d’imposta </w:t>
            </w:r>
            <w:r>
              <w:rPr>
                <w:b/>
                <w:bCs/>
              </w:rPr>
              <w:t>2019</w:t>
            </w:r>
            <w:r>
              <w:t>.</w:t>
            </w:r>
            <w:r>
              <w:br/>
              <w:t>Questi requisiti </w:t>
            </w:r>
            <w:r>
              <w:rPr>
                <w:b/>
                <w:bCs/>
              </w:rPr>
              <w:t>non sono richiesti</w:t>
            </w:r>
            <w:r>
              <w:t> se l’attività è stata </w:t>
            </w:r>
            <w:r>
              <w:rPr>
                <w:b/>
                <w:bCs/>
              </w:rPr>
              <w:t>avviata nel corso del 2020</w:t>
            </w:r>
            <w:r>
              <w:t>.</w:t>
            </w:r>
            <w:r>
              <w:br/>
            </w:r>
            <w:r>
              <w:rPr>
                <w:b/>
                <w:bCs/>
              </w:rPr>
              <w:t>Come si calcola il reddito 2019?</w:t>
            </w:r>
            <w:r>
              <w:br/>
              <w:t>–          Per i </w:t>
            </w:r>
            <w:r>
              <w:rPr>
                <w:b/>
                <w:bCs/>
              </w:rPr>
              <w:t>professionisti iscritti alle Casse private</w:t>
            </w:r>
            <w:r>
              <w:t> il reddito è individuato secondo il </w:t>
            </w:r>
            <w:r>
              <w:rPr>
                <w:b/>
                <w:bCs/>
              </w:rPr>
              <w:t>principio di cassa</w:t>
            </w:r>
            <w:r>
              <w:t> come </w:t>
            </w:r>
            <w:r>
              <w:rPr>
                <w:b/>
                <w:bCs/>
              </w:rPr>
              <w:t>differenza tra i compensi percepiti</w:t>
            </w:r>
            <w:r>
              <w:t> e i </w:t>
            </w:r>
            <w:r>
              <w:rPr>
                <w:b/>
                <w:bCs/>
              </w:rPr>
              <w:t>costi inerenti</w:t>
            </w:r>
            <w:r>
              <w:t> all’attività.</w:t>
            </w:r>
            <w:r>
              <w:br/>
              <w:t>–          </w:t>
            </w:r>
            <w:r>
              <w:rPr>
                <w:b/>
                <w:bCs/>
              </w:rPr>
              <w:t>Per gli iscritti alla Gestione artigiani e commercianti Inps</w:t>
            </w:r>
            <w:r>
              <w:t> e alla </w:t>
            </w:r>
            <w:r>
              <w:rPr>
                <w:b/>
                <w:bCs/>
              </w:rPr>
              <w:t>Gestione separata</w:t>
            </w:r>
            <w:r>
              <w:t>, il reddito è individuato nel reddito imponibile indicato nel </w:t>
            </w:r>
            <w:r>
              <w:rPr>
                <w:b/>
                <w:bCs/>
              </w:rPr>
              <w:t>quadro RR sezione I o II</w:t>
            </w:r>
            <w:r>
              <w:t> del modello Redditi PF, trasmessa entro il termine di presentazione dell’istanza di esonero.</w:t>
            </w:r>
            <w:r>
              <w:br/>
              <w:t>–          Per i </w:t>
            </w:r>
            <w:r>
              <w:rPr>
                <w:b/>
                <w:bCs/>
              </w:rPr>
              <w:t xml:space="preserve">soggetti iscritti alla gestione dei coltivatori diretti, </w:t>
            </w:r>
            <w:r>
              <w:rPr>
                <w:b/>
                <w:bCs/>
              </w:rPr>
              <w:lastRenderedPageBreak/>
              <w:t>coloni e mezzadri</w:t>
            </w:r>
            <w:r>
              <w:t> assumono rilievo i redditi risultanti del modello Redditi PF trasmesso entro il termine di presentazione dell’istanza di esonero, riconducibili alle attività che comportano l’iscrizione alla gestione, compresi i </w:t>
            </w:r>
            <w:r>
              <w:rPr>
                <w:b/>
                <w:bCs/>
              </w:rPr>
              <w:t>redditi derivanti dalle attività connesse alle attività agricole</w:t>
            </w:r>
            <w:r>
              <w:t>.</w:t>
            </w:r>
          </w:p>
        </w:tc>
      </w:tr>
      <w:tr w:rsidR="00475EF3" w14:paraId="3FFF5813" w14:textId="77777777" w:rsidTr="00475EF3"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E1D8AD6" w14:textId="77777777" w:rsidR="00475EF3" w:rsidRDefault="00475EF3">
            <w:pPr>
              <w:spacing w:before="300" w:after="300"/>
            </w:pPr>
            <w:r>
              <w:rPr>
                <w:b/>
                <w:bCs/>
              </w:rPr>
              <w:lastRenderedPageBreak/>
              <w:t>La regolarità contributiva</w:t>
            </w:r>
          </w:p>
        </w:tc>
        <w:tc>
          <w:tcPr>
            <w:tcW w:w="7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E64117A" w14:textId="77777777" w:rsidR="00475EF3" w:rsidRDefault="00475EF3">
            <w:pPr>
              <w:spacing w:before="300" w:after="300"/>
            </w:pPr>
            <w:r>
              <w:t>Ai sensi dell’</w:t>
            </w:r>
            <w:hyperlink r:id="rId11" w:tgtFrame="_blank" w:history="1">
              <w:r>
                <w:rPr>
                  <w:rStyle w:val="Collegamentoipertestuale"/>
                  <w:b/>
                  <w:bCs/>
                  <w:color w:val="006CBA"/>
                </w:rPr>
                <w:t>articolo 47-bis D.L. 73/2021</w:t>
              </w:r>
            </w:hyperlink>
            <w:r>
              <w:rPr>
                <w:b/>
                <w:bCs/>
              </w:rPr>
              <w:t> </w:t>
            </w:r>
            <w:r>
              <w:t>il parziale esonero dal pagamento dei contributi previdenziali richiede la </w:t>
            </w:r>
            <w:r>
              <w:rPr>
                <w:b/>
                <w:bCs/>
              </w:rPr>
              <w:t>regolarità contributiva</w:t>
            </w:r>
            <w:r>
              <w:t>, che è verificata d’ufficio dagli enti concedenti </w:t>
            </w:r>
            <w:r>
              <w:rPr>
                <w:b/>
                <w:bCs/>
              </w:rPr>
              <w:t>dal 1° novembre 2021</w:t>
            </w:r>
            <w:r>
              <w:t>. A tal fine la regolarità contributiva è assicurata anche dai </w:t>
            </w:r>
            <w:r>
              <w:rPr>
                <w:b/>
                <w:bCs/>
              </w:rPr>
              <w:t>versamenti effettuati entro il 31 ottobre 2021</w:t>
            </w:r>
            <w:r>
              <w:t>.</w:t>
            </w:r>
            <w:r>
              <w:br/>
              <w:t>Ai sensi dell’</w:t>
            </w:r>
            <w:r>
              <w:rPr>
                <w:b/>
                <w:bCs/>
              </w:rPr>
              <w:t>articolo 2 D.M. 17.05.2021</w:t>
            </w:r>
            <w:r>
              <w:t>, inoltre, </w:t>
            </w:r>
            <w:r>
              <w:rPr>
                <w:b/>
                <w:bCs/>
              </w:rPr>
              <w:t>l’accredito della contribuzione Inps</w:t>
            </w:r>
            <w:r>
              <w:t> oggetto di esonero è </w:t>
            </w:r>
            <w:r>
              <w:rPr>
                <w:b/>
                <w:bCs/>
              </w:rPr>
              <w:t>subordinato all’integrale pagamento della quota parte di contribuzione obbligatoria </w:t>
            </w:r>
            <w:r>
              <w:t>non oggetto di esonero.</w:t>
            </w:r>
          </w:p>
        </w:tc>
      </w:tr>
    </w:tbl>
    <w:p w14:paraId="41E2BA2D" w14:textId="77777777" w:rsidR="00475EF3" w:rsidRDefault="00475EF3" w:rsidP="00475EF3">
      <w:pPr>
        <w:spacing w:after="225"/>
        <w:jc w:val="both"/>
        <w:rPr>
          <w:rFonts w:ascii="Roboto" w:hAnsi="Roboto"/>
          <w:color w:val="454545"/>
        </w:rPr>
      </w:pPr>
      <w:r>
        <w:rPr>
          <w:rFonts w:ascii="Roboto" w:hAnsi="Roboto"/>
          <w:color w:val="454545"/>
        </w:rPr>
        <w:t>Tutto quanto appena premesso, si rende ora necessario analizzare quali sono i </w:t>
      </w:r>
      <w:r>
        <w:rPr>
          <w:rFonts w:ascii="Roboto" w:hAnsi="Roboto"/>
          <w:b/>
          <w:bCs/>
          <w:color w:val="454545"/>
        </w:rPr>
        <w:t>termini</w:t>
      </w:r>
      <w:r>
        <w:rPr>
          <w:rFonts w:ascii="Roboto" w:hAnsi="Roboto"/>
          <w:color w:val="454545"/>
        </w:rPr>
        <w:t> per procedere al più imminente versamento del </w:t>
      </w:r>
      <w:r>
        <w:rPr>
          <w:rFonts w:ascii="Roboto" w:hAnsi="Roboto"/>
          <w:b/>
          <w:bCs/>
          <w:color w:val="454545"/>
        </w:rPr>
        <w:t>saldo e del primo acconto dei contributi previdenziali</w:t>
      </w:r>
      <w:r>
        <w:rPr>
          <w:rFonts w:ascii="Roboto" w:hAnsi="Roboto"/>
          <w:color w:val="454545"/>
        </w:rPr>
        <w:t>, tenuto conto:</w:t>
      </w:r>
    </w:p>
    <w:p w14:paraId="320D320E" w14:textId="77777777" w:rsidR="00475EF3" w:rsidRDefault="00475EF3" w:rsidP="00475EF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Roboto" w:hAnsi="Roboto"/>
          <w:color w:val="454545"/>
        </w:rPr>
      </w:pPr>
      <w:r>
        <w:rPr>
          <w:rFonts w:ascii="Roboto" w:hAnsi="Roboto"/>
          <w:color w:val="454545"/>
        </w:rPr>
        <w:t>della </w:t>
      </w:r>
      <w:r>
        <w:rPr>
          <w:rFonts w:ascii="Roboto" w:hAnsi="Roboto"/>
          <w:b/>
          <w:bCs/>
          <w:color w:val="454545"/>
        </w:rPr>
        <w:t>proroga al 15 settembre riconosciuta ai c.d. “soggetti Isa”</w:t>
      </w:r>
      <w:r>
        <w:rPr>
          <w:rFonts w:ascii="Roboto" w:hAnsi="Roboto"/>
          <w:color w:val="454545"/>
        </w:rPr>
        <w:t> (per approfondimenti si rinvia al precedente contributo “</w:t>
      </w:r>
      <w:hyperlink r:id="rId12" w:history="1">
        <w:r>
          <w:rPr>
            <w:rStyle w:val="Collegamentoipertestuale"/>
            <w:rFonts w:ascii="Roboto" w:hAnsi="Roboto"/>
            <w:b/>
            <w:bCs/>
            <w:i/>
            <w:iCs/>
            <w:color w:val="006CBA"/>
          </w:rPr>
          <w:t>Convertito in legge il Sostegni-bis. Ufficiale la proroga al 15 settembre</w:t>
        </w:r>
      </w:hyperlink>
      <w:r>
        <w:rPr>
          <w:rFonts w:ascii="Roboto" w:hAnsi="Roboto"/>
          <w:color w:val="454545"/>
        </w:rPr>
        <w:t>”);</w:t>
      </w:r>
    </w:p>
    <w:p w14:paraId="3F461788" w14:textId="77777777" w:rsidR="00475EF3" w:rsidRDefault="00475EF3" w:rsidP="00475EF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Roboto" w:hAnsi="Roboto"/>
          <w:color w:val="454545"/>
        </w:rPr>
      </w:pPr>
      <w:r>
        <w:rPr>
          <w:rFonts w:ascii="Roboto" w:hAnsi="Roboto"/>
          <w:color w:val="454545"/>
        </w:rPr>
        <w:t>che, con il </w:t>
      </w:r>
      <w:hyperlink r:id="rId13" w:tgtFrame="_blank" w:history="1">
        <w:r>
          <w:rPr>
            <w:rStyle w:val="Collegamentoipertestuale"/>
            <w:rFonts w:ascii="Roboto" w:hAnsi="Roboto"/>
            <w:b/>
            <w:bCs/>
            <w:color w:val="006CBA"/>
          </w:rPr>
          <w:t>messaggio n. 2418 del 25.06.2021</w:t>
        </w:r>
      </w:hyperlink>
      <w:r>
        <w:rPr>
          <w:rFonts w:ascii="Roboto" w:hAnsi="Roboto"/>
          <w:color w:val="454545"/>
        </w:rPr>
        <w:t>, l’Inps, in attesa della conclusione dell’iter di attuazione della normativa in esame, ha previsto il </w:t>
      </w:r>
      <w:r>
        <w:rPr>
          <w:rFonts w:ascii="Roboto" w:hAnsi="Roboto"/>
          <w:b/>
          <w:bCs/>
          <w:color w:val="454545"/>
        </w:rPr>
        <w:t>differimento, fino a nuova comunicazione, delle somme dovute a titolo di primo acconto </w:t>
      </w:r>
      <w:r>
        <w:rPr>
          <w:rFonts w:ascii="Roboto" w:hAnsi="Roboto"/>
          <w:color w:val="454545"/>
        </w:rPr>
        <w:t>della contribuzione calcolata sul reddito d’impresa ai fini Irpef per </w:t>
      </w:r>
      <w:r>
        <w:rPr>
          <w:rFonts w:ascii="Roboto" w:hAnsi="Roboto"/>
          <w:b/>
          <w:bCs/>
          <w:color w:val="454545"/>
        </w:rPr>
        <w:t>l’anno di imposta 2021</w:t>
      </w:r>
      <w:r>
        <w:rPr>
          <w:rFonts w:ascii="Roboto" w:hAnsi="Roboto"/>
          <w:color w:val="454545"/>
        </w:rPr>
        <w:t> dai soggetti iscritti alla Gestione artigiani e commercianti, oppure alla Gestione separata, </w:t>
      </w:r>
      <w:r>
        <w:rPr>
          <w:rFonts w:ascii="Roboto" w:hAnsi="Roboto"/>
          <w:b/>
          <w:bCs/>
          <w:color w:val="454545"/>
        </w:rPr>
        <w:t>interessati dall’esonero dal versamento dei contributi previdenziali e assistenziali di cui all’</w:t>
      </w:r>
      <w:hyperlink r:id="rId14" w:tgtFrame="_blank" w:history="1">
        <w:r>
          <w:rPr>
            <w:rStyle w:val="Collegamentoipertestuale"/>
            <w:rFonts w:ascii="Roboto" w:hAnsi="Roboto"/>
            <w:b/>
            <w:bCs/>
            <w:color w:val="006CBA"/>
          </w:rPr>
          <w:t>articolo 1, comma 20, L. 178/2020</w:t>
        </w:r>
      </w:hyperlink>
      <w:r>
        <w:rPr>
          <w:rFonts w:ascii="Roboto" w:hAnsi="Roboto"/>
          <w:color w:val="454545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4"/>
        <w:gridCol w:w="2135"/>
        <w:gridCol w:w="3186"/>
        <w:gridCol w:w="2797"/>
      </w:tblGrid>
      <w:tr w:rsidR="00475EF3" w14:paraId="6D1B9490" w14:textId="77777777" w:rsidTr="00475EF3">
        <w:tc>
          <w:tcPr>
            <w:tcW w:w="38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F018B14" w14:textId="77777777" w:rsidR="00475EF3" w:rsidRDefault="00475EF3">
            <w:pPr>
              <w:rPr>
                <w:rFonts w:ascii="Roboto" w:hAnsi="Roboto"/>
                <w:color w:val="454545"/>
              </w:rPr>
            </w:pP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94173D3" w14:textId="77777777" w:rsidR="00475EF3" w:rsidRDefault="00475EF3">
            <w:pPr>
              <w:spacing w:before="300" w:after="300"/>
            </w:pPr>
            <w:r>
              <w:rPr>
                <w:b/>
                <w:bCs/>
              </w:rPr>
              <w:t>Acconto contributi Inps (prima rata)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F0565B4" w14:textId="77777777" w:rsidR="00475EF3" w:rsidRDefault="00475EF3">
            <w:pPr>
              <w:spacing w:before="300" w:after="300"/>
            </w:pPr>
            <w:r>
              <w:rPr>
                <w:b/>
                <w:bCs/>
              </w:rPr>
              <w:t>Saldo contributi Inps</w:t>
            </w:r>
          </w:p>
        </w:tc>
      </w:tr>
      <w:tr w:rsidR="00475EF3" w14:paraId="171FAD3C" w14:textId="77777777" w:rsidTr="00475EF3">
        <w:tc>
          <w:tcPr>
            <w:tcW w:w="18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61F40E9" w14:textId="77777777" w:rsidR="00475EF3" w:rsidRDefault="00475EF3">
            <w:pPr>
              <w:spacing w:before="300" w:after="300"/>
            </w:pPr>
            <w:r>
              <w:rPr>
                <w:b/>
                <w:bCs/>
              </w:rPr>
              <w:lastRenderedPageBreak/>
              <w:t>“Soggetti Isa”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80A1A5E" w14:textId="77777777" w:rsidR="00475EF3" w:rsidRDefault="00475EF3">
            <w:pPr>
              <w:spacing w:before="300" w:after="300"/>
            </w:pPr>
            <w:r>
              <w:t>Soggetti con redditi fino a 50.000 euro e riduzione 33% fatturato (vedi </w:t>
            </w:r>
            <w:r>
              <w:rPr>
                <w:b/>
                <w:bCs/>
              </w:rPr>
              <w:t>condizioni per esonero contributivo</w:t>
            </w:r>
            <w:r>
              <w:t>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6A234F6" w14:textId="77777777" w:rsidR="00475EF3" w:rsidRDefault="00475EF3">
            <w:pPr>
              <w:spacing w:before="300" w:after="300"/>
            </w:pPr>
            <w:r>
              <w:rPr>
                <w:b/>
                <w:bCs/>
              </w:rPr>
              <w:t>Termine sospeso</w:t>
            </w:r>
            <w:r>
              <w:t> (necessario attendere futuro provvedimento)</w:t>
            </w:r>
          </w:p>
        </w:tc>
        <w:tc>
          <w:tcPr>
            <w:tcW w:w="22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7D6664F" w14:textId="77777777" w:rsidR="00475EF3" w:rsidRDefault="00475EF3">
            <w:pPr>
              <w:spacing w:before="300" w:after="300"/>
            </w:pPr>
            <w:r>
              <w:rPr>
                <w:b/>
                <w:bCs/>
              </w:rPr>
              <w:t>15.09.2021</w:t>
            </w:r>
            <w:r>
              <w:t> (senza maggiorazione)</w:t>
            </w:r>
            <w:r>
              <w:br/>
              <w:t>Presenza presupposti esonero contributivo irrilevanti (</w:t>
            </w:r>
            <w:r>
              <w:rPr>
                <w:b/>
                <w:bCs/>
              </w:rPr>
              <w:t>saldo 2020 non rientra nell’esonero contributivo</w:t>
            </w:r>
            <w:r>
              <w:t>)</w:t>
            </w:r>
          </w:p>
        </w:tc>
      </w:tr>
      <w:tr w:rsidR="00475EF3" w14:paraId="4D325360" w14:textId="77777777" w:rsidTr="00475EF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54583AE" w14:textId="77777777" w:rsidR="00475EF3" w:rsidRDefault="00475EF3"/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6D97C7B" w14:textId="77777777" w:rsidR="00475EF3" w:rsidRDefault="00475EF3">
            <w:pPr>
              <w:spacing w:before="300" w:after="300"/>
            </w:pPr>
            <w:r>
              <w:rPr>
                <w:b/>
                <w:bCs/>
              </w:rPr>
              <w:t>Altri soggetti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0896575" w14:textId="77777777" w:rsidR="00475EF3" w:rsidRDefault="00475EF3">
            <w:pPr>
              <w:spacing w:before="300" w:after="300"/>
            </w:pPr>
            <w:r>
              <w:rPr>
                <w:b/>
                <w:bCs/>
              </w:rPr>
              <w:t>15.09.2021</w:t>
            </w:r>
            <w:r>
              <w:t> (senza maggiorazione)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2060D20" w14:textId="77777777" w:rsidR="00475EF3" w:rsidRDefault="00475EF3"/>
        </w:tc>
      </w:tr>
      <w:tr w:rsidR="00475EF3" w14:paraId="63201F04" w14:textId="77777777" w:rsidTr="00475EF3">
        <w:tc>
          <w:tcPr>
            <w:tcW w:w="18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EB5600B" w14:textId="77777777" w:rsidR="00475EF3" w:rsidRDefault="00475EF3">
            <w:pPr>
              <w:spacing w:before="300" w:after="300"/>
            </w:pPr>
            <w:r>
              <w:rPr>
                <w:b/>
                <w:bCs/>
              </w:rPr>
              <w:t>Soggetti “no-Isa”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F325B7E" w14:textId="77777777" w:rsidR="00475EF3" w:rsidRDefault="00475EF3">
            <w:pPr>
              <w:spacing w:before="300" w:after="300"/>
            </w:pPr>
            <w:r>
              <w:t>Soggetti con redditi fino a 50.000 euro e riduzione 33% fatturato (vedi </w:t>
            </w:r>
            <w:r>
              <w:rPr>
                <w:b/>
                <w:bCs/>
              </w:rPr>
              <w:t>condizioni per esonero contributivo</w:t>
            </w:r>
            <w:r>
              <w:t>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9ECADEA" w14:textId="77777777" w:rsidR="00475EF3" w:rsidRDefault="00475EF3">
            <w:pPr>
              <w:spacing w:before="300" w:after="300"/>
            </w:pPr>
            <w:r>
              <w:rPr>
                <w:b/>
                <w:bCs/>
              </w:rPr>
              <w:t>Termine sospeso</w:t>
            </w:r>
            <w:r>
              <w:t> (necessario attendere futuro provvedimento)</w:t>
            </w:r>
          </w:p>
        </w:tc>
        <w:tc>
          <w:tcPr>
            <w:tcW w:w="22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7D8CC3D" w14:textId="77777777" w:rsidR="00475EF3" w:rsidRDefault="00475EF3">
            <w:pPr>
              <w:spacing w:before="300" w:after="300"/>
            </w:pPr>
            <w:r>
              <w:rPr>
                <w:b/>
                <w:bCs/>
              </w:rPr>
              <w:t>30.06.2021</w:t>
            </w:r>
            <w:r>
              <w:t> (</w:t>
            </w:r>
            <w:r>
              <w:rPr>
                <w:b/>
                <w:bCs/>
              </w:rPr>
              <w:t>30.07.2021 con maggiorazione</w:t>
            </w:r>
            <w:r>
              <w:t> 0,40%)</w:t>
            </w:r>
            <w:r>
              <w:br/>
              <w:t>Presenza presupposti esonero irrilevanti (saldo 2020 non rientra nell’esonero contributivo)</w:t>
            </w:r>
          </w:p>
        </w:tc>
      </w:tr>
      <w:tr w:rsidR="00475EF3" w14:paraId="53EF89BC" w14:textId="77777777" w:rsidTr="00475EF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252DB01" w14:textId="77777777" w:rsidR="00475EF3" w:rsidRDefault="00475EF3"/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FA8AD8D" w14:textId="77777777" w:rsidR="00475EF3" w:rsidRDefault="00475EF3">
            <w:pPr>
              <w:spacing w:before="300" w:after="300"/>
            </w:pPr>
            <w:r>
              <w:rPr>
                <w:b/>
                <w:bCs/>
              </w:rPr>
              <w:t>Altri soggetti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516BB30" w14:textId="77777777" w:rsidR="00475EF3" w:rsidRDefault="00475EF3">
            <w:pPr>
              <w:spacing w:before="300" w:after="300"/>
            </w:pPr>
            <w:r>
              <w:rPr>
                <w:b/>
                <w:bCs/>
              </w:rPr>
              <w:t>30.06.2021</w:t>
            </w:r>
            <w:r>
              <w:t> (</w:t>
            </w:r>
            <w:r>
              <w:rPr>
                <w:b/>
                <w:bCs/>
              </w:rPr>
              <w:t>30.07.2021</w:t>
            </w:r>
            <w:r>
              <w:t> con maggiorazione 0,40%)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417E66B" w14:textId="77777777" w:rsidR="00475EF3" w:rsidRDefault="00475EF3"/>
        </w:tc>
      </w:tr>
    </w:tbl>
    <w:p w14:paraId="2783DCAC" w14:textId="77777777" w:rsidR="00475EF3" w:rsidRDefault="00475EF3" w:rsidP="00475EF3">
      <w:pPr>
        <w:spacing w:after="225"/>
        <w:rPr>
          <w:rFonts w:ascii="Roboto" w:hAnsi="Roboto"/>
          <w:color w:val="454545"/>
          <w:sz w:val="18"/>
          <w:szCs w:val="18"/>
        </w:rPr>
      </w:pPr>
      <w:r>
        <w:rPr>
          <w:rFonts w:ascii="Roboto" w:hAnsi="Roboto"/>
          <w:color w:val="454545"/>
        </w:rPr>
        <w:t> </w:t>
      </w:r>
    </w:p>
    <w:p w14:paraId="08B57121" w14:textId="77777777" w:rsidR="00475EF3" w:rsidRDefault="00475EF3" w:rsidP="00475EF3">
      <w:pPr>
        <w:jc w:val="center"/>
        <w:rPr>
          <w:rFonts w:ascii="Roboto" w:hAnsi="Roboto"/>
          <w:color w:val="454545"/>
          <w:sz w:val="18"/>
          <w:szCs w:val="18"/>
        </w:rPr>
      </w:pPr>
      <w:r>
        <w:rPr>
          <w:rFonts w:ascii="Roboto" w:hAnsi="Roboto"/>
          <w:color w:val="454545"/>
          <w:sz w:val="18"/>
          <w:szCs w:val="18"/>
        </w:rPr>
        <w:t> </w:t>
      </w:r>
    </w:p>
    <w:p w14:paraId="40428D09" w14:textId="77777777" w:rsidR="00733CA6" w:rsidRPr="00E44708" w:rsidRDefault="00733CA6" w:rsidP="00E44708"/>
    <w:sectPr w:rsidR="00733CA6" w:rsidRPr="00E44708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1FDB8" w14:textId="77777777" w:rsidR="00BE223A" w:rsidRDefault="00BE223A">
      <w:r>
        <w:separator/>
      </w:r>
    </w:p>
  </w:endnote>
  <w:endnote w:type="continuationSeparator" w:id="0">
    <w:p w14:paraId="55A5EF3C" w14:textId="77777777" w:rsidR="00BE223A" w:rsidRDefault="00BE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54675" w14:textId="77777777" w:rsidR="00850DF5" w:rsidRDefault="00850DF5" w:rsidP="00EE4866">
    <w:pPr>
      <w:pStyle w:val="NormaleWeb"/>
      <w:tabs>
        <w:tab w:val="left" w:pos="4820"/>
      </w:tabs>
      <w:spacing w:before="0" w:beforeAutospacing="0" w:after="0" w:afterAutospacing="0"/>
      <w:rPr>
        <w:b/>
        <w:bCs/>
        <w:i/>
        <w:color w:val="000000"/>
        <w:sz w:val="20"/>
        <w:szCs w:val="20"/>
      </w:rPr>
    </w:pPr>
  </w:p>
  <w:p w14:paraId="53ECD151" w14:textId="77777777" w:rsidR="00EE4866" w:rsidRPr="00EE4866" w:rsidRDefault="00EE4866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b/>
        <w:bCs/>
        <w:i/>
        <w:color w:val="000000"/>
        <w:sz w:val="20"/>
        <w:szCs w:val="20"/>
      </w:rPr>
      <w:t>ROMA</w:t>
    </w:r>
    <w:r>
      <w:rPr>
        <w:b/>
        <w:bCs/>
        <w:i/>
        <w:color w:val="000000"/>
        <w:sz w:val="20"/>
        <w:szCs w:val="20"/>
      </w:rPr>
      <w:tab/>
    </w:r>
    <w:r w:rsidRPr="00EE4866">
      <w:rPr>
        <w:b/>
        <w:bCs/>
        <w:i/>
        <w:color w:val="000000"/>
        <w:sz w:val="20"/>
        <w:szCs w:val="20"/>
      </w:rPr>
      <w:t>ARIANO IRPINO</w:t>
    </w:r>
    <w:r w:rsidR="00447160">
      <w:rPr>
        <w:b/>
        <w:bCs/>
        <w:i/>
        <w:color w:val="000000"/>
        <w:sz w:val="20"/>
        <w:szCs w:val="20"/>
      </w:rPr>
      <w:t xml:space="preserve"> (AV)</w:t>
    </w:r>
    <w:r w:rsidRPr="00EE4866">
      <w:rPr>
        <w:i/>
        <w:sz w:val="20"/>
        <w:szCs w:val="20"/>
      </w:rPr>
      <w:br/>
    </w:r>
    <w:r w:rsidR="0007685A">
      <w:rPr>
        <w:i/>
        <w:sz w:val="20"/>
        <w:szCs w:val="20"/>
      </w:rPr>
      <w:t xml:space="preserve">Viale Regina Margherita, 176 </w:t>
    </w:r>
    <w:r w:rsidR="001B7DAE">
      <w:rPr>
        <w:i/>
        <w:sz w:val="20"/>
        <w:szCs w:val="20"/>
      </w:rPr>
      <w:t xml:space="preserve">- </w:t>
    </w:r>
    <w:r w:rsidR="001B7DAE" w:rsidRPr="0007685A">
      <w:rPr>
        <w:i/>
        <w:sz w:val="20"/>
        <w:szCs w:val="20"/>
      </w:rPr>
      <w:t>Scala</w:t>
    </w:r>
    <w:r w:rsidR="0007685A" w:rsidRPr="00EE4866">
      <w:rPr>
        <w:i/>
        <w:sz w:val="20"/>
        <w:szCs w:val="20"/>
      </w:rPr>
      <w:t xml:space="preserve"> B - Interno 2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 xml:space="preserve">Via Fontana Angelica, 1 </w:t>
    </w:r>
    <w:r w:rsidR="0007685A">
      <w:rPr>
        <w:i/>
        <w:sz w:val="20"/>
        <w:szCs w:val="20"/>
      </w:rPr>
      <w:t xml:space="preserve">- </w:t>
    </w:r>
    <w:r w:rsidR="0007685A" w:rsidRPr="00EE4866">
      <w:rPr>
        <w:i/>
        <w:sz w:val="20"/>
        <w:szCs w:val="20"/>
      </w:rPr>
      <w:t>Centro Direz. F.A.C.I.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br/>
      <w:t>00198 Roma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>83031 Ariano Irpino (AV)</w:t>
    </w:r>
  </w:p>
  <w:p w14:paraId="3F26EFF6" w14:textId="77777777" w:rsidR="00EE4866" w:rsidRPr="0006133F" w:rsidRDefault="007B0EA7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i/>
        <w:sz w:val="20"/>
        <w:szCs w:val="20"/>
      </w:rPr>
      <w:t>Tel. 06/85301700</w:t>
    </w:r>
    <w:r>
      <w:rPr>
        <w:i/>
        <w:sz w:val="20"/>
        <w:szCs w:val="20"/>
      </w:rPr>
      <w:tab/>
      <w:t>Tel. 0825/</w:t>
    </w:r>
    <w:r w:rsidR="00EE4866" w:rsidRPr="0006133F">
      <w:rPr>
        <w:i/>
        <w:sz w:val="20"/>
        <w:szCs w:val="20"/>
      </w:rPr>
      <w:t>892086</w:t>
    </w:r>
    <w:r>
      <w:rPr>
        <w:i/>
        <w:sz w:val="20"/>
        <w:szCs w:val="20"/>
      </w:rPr>
      <w:t xml:space="preserve"> </w:t>
    </w:r>
    <w:r w:rsidR="001B7DAE">
      <w:rPr>
        <w:i/>
        <w:sz w:val="20"/>
        <w:szCs w:val="20"/>
      </w:rPr>
      <w:t>-</w:t>
    </w:r>
    <w:r>
      <w:rPr>
        <w:i/>
        <w:sz w:val="20"/>
        <w:szCs w:val="20"/>
      </w:rPr>
      <w:t xml:space="preserve"> 0825/891301</w:t>
    </w:r>
    <w:r w:rsidR="0007685A" w:rsidRPr="0006133F">
      <w:rPr>
        <w:i/>
        <w:sz w:val="20"/>
        <w:szCs w:val="20"/>
      </w:rPr>
      <w:t xml:space="preserve"> - Fax 0825</w:t>
    </w:r>
    <w:r>
      <w:rPr>
        <w:i/>
        <w:sz w:val="20"/>
        <w:szCs w:val="20"/>
      </w:rPr>
      <w:t>/</w:t>
    </w:r>
    <w:r w:rsidR="0007685A" w:rsidRPr="0006133F">
      <w:rPr>
        <w:i/>
        <w:sz w:val="20"/>
        <w:szCs w:val="20"/>
      </w:rPr>
      <w:t>892642</w:t>
    </w:r>
    <w:r w:rsidR="00EE4866"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</w:p>
  <w:p w14:paraId="53D07A8C" w14:textId="77777777" w:rsidR="00EE4866" w:rsidRPr="0006133F" w:rsidRDefault="00EE4866" w:rsidP="0007685A">
    <w:pPr>
      <w:pStyle w:val="NormaleWeb"/>
      <w:tabs>
        <w:tab w:val="left" w:pos="4820"/>
      </w:tabs>
      <w:spacing w:before="0" w:beforeAutospacing="0" w:after="0" w:afterAutospacing="0"/>
      <w:ind w:right="-143"/>
      <w:rPr>
        <w:i/>
        <w:color w:val="000000"/>
        <w:sz w:val="20"/>
        <w:szCs w:val="20"/>
      </w:rPr>
    </w:pPr>
    <w:r w:rsidRPr="0006133F">
      <w:rPr>
        <w:i/>
        <w:sz w:val="20"/>
        <w:szCs w:val="20"/>
      </w:rPr>
      <w:t>inforoma@studiocastellano.com</w:t>
    </w:r>
    <w:r w:rsidRPr="0006133F">
      <w:rPr>
        <w:i/>
        <w:sz w:val="20"/>
        <w:szCs w:val="20"/>
      </w:rPr>
      <w:tab/>
      <w:t>info@studiocastellano.com</w:t>
    </w:r>
  </w:p>
  <w:p w14:paraId="7FFA1FF4" w14:textId="77777777" w:rsidR="00CF1BE2" w:rsidRPr="00E845CA" w:rsidRDefault="00CF1BE2" w:rsidP="00EE4866">
    <w:pPr>
      <w:tabs>
        <w:tab w:val="center" w:pos="4820"/>
      </w:tabs>
      <w:rPr>
        <w:b/>
        <w:i/>
        <w:sz w:val="20"/>
        <w:szCs w:val="20"/>
      </w:rPr>
    </w:pPr>
    <w:r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  <w:r w:rsidR="00E845CA" w:rsidRPr="00E845CA">
      <w:rPr>
        <w:b/>
        <w:i/>
        <w:sz w:val="20"/>
        <w:szCs w:val="20"/>
      </w:rPr>
      <w:t>www.studiocastellano.com - facebook.com/StudioCastellano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56CA6" w14:textId="77777777" w:rsidR="00BE223A" w:rsidRDefault="00BE223A">
      <w:r>
        <w:separator/>
      </w:r>
    </w:p>
  </w:footnote>
  <w:footnote w:type="continuationSeparator" w:id="0">
    <w:p w14:paraId="2E87DF70" w14:textId="77777777" w:rsidR="00BE223A" w:rsidRDefault="00BE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85775" w14:textId="77777777" w:rsidR="005E2050" w:rsidRDefault="00090742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500A2D8" wp14:editId="6474349F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843328" cy="531077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udio Castellano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328" cy="53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FFDA6" w14:textId="77777777" w:rsidR="005E2050" w:rsidRDefault="005E2050">
    <w:pPr>
      <w:pStyle w:val="Intestazione"/>
    </w:pPr>
  </w:p>
  <w:p w14:paraId="0BC26A20" w14:textId="77777777" w:rsidR="005E2050" w:rsidRDefault="005E2050">
    <w:pPr>
      <w:pStyle w:val="Intestazione"/>
    </w:pPr>
  </w:p>
  <w:p w14:paraId="3C6E1688" w14:textId="77777777" w:rsidR="005E2050" w:rsidRDefault="005E2050" w:rsidP="0051460C">
    <w:pPr>
      <w:pStyle w:val="Intestazione"/>
      <w:tabs>
        <w:tab w:val="clear" w:pos="4819"/>
        <w:tab w:val="clear" w:pos="9638"/>
      </w:tabs>
      <w:jc w:val="center"/>
    </w:pPr>
    <w:r>
      <w:t>Professionisti d’Impresa</w:t>
    </w:r>
  </w:p>
  <w:p w14:paraId="66632F21" w14:textId="77777777" w:rsidR="005E2050" w:rsidRDefault="005E2050" w:rsidP="0051460C">
    <w:pPr>
      <w:pStyle w:val="Intestazione"/>
      <w:tabs>
        <w:tab w:val="left" w:pos="142"/>
        <w:tab w:val="left" w:pos="180"/>
      </w:tabs>
      <w:jc w:val="center"/>
    </w:pPr>
    <w:r>
      <w:t>Studio di Consulenza Societaria e Tributaria</w:t>
    </w:r>
  </w:p>
  <w:p w14:paraId="0613E905" w14:textId="77777777" w:rsidR="00021415" w:rsidRDefault="00021415" w:rsidP="0051460C">
    <w:pPr>
      <w:pStyle w:val="Intestazione"/>
      <w:tabs>
        <w:tab w:val="left" w:pos="142"/>
        <w:tab w:val="left" w:pos="1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6B8D"/>
    <w:multiLevelType w:val="hybridMultilevel"/>
    <w:tmpl w:val="834EBD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A6B48"/>
    <w:multiLevelType w:val="multilevel"/>
    <w:tmpl w:val="E19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D746D"/>
    <w:multiLevelType w:val="hybridMultilevel"/>
    <w:tmpl w:val="5D286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097F"/>
    <w:multiLevelType w:val="hybridMultilevel"/>
    <w:tmpl w:val="14CC14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F6FCC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609CD"/>
    <w:multiLevelType w:val="hybridMultilevel"/>
    <w:tmpl w:val="B7C492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234"/>
    <w:multiLevelType w:val="multilevel"/>
    <w:tmpl w:val="C38C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605F6"/>
    <w:multiLevelType w:val="hybridMultilevel"/>
    <w:tmpl w:val="9BF2028A"/>
    <w:lvl w:ilvl="0" w:tplc="10F6FC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575C9F"/>
    <w:multiLevelType w:val="multilevel"/>
    <w:tmpl w:val="FBB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3A28FF"/>
    <w:multiLevelType w:val="hybridMultilevel"/>
    <w:tmpl w:val="8F0092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202840"/>
    <w:multiLevelType w:val="multilevel"/>
    <w:tmpl w:val="A4B0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C16960"/>
    <w:multiLevelType w:val="multilevel"/>
    <w:tmpl w:val="C6DA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35"/>
    <w:rsid w:val="00001CAF"/>
    <w:rsid w:val="00021415"/>
    <w:rsid w:val="0006133F"/>
    <w:rsid w:val="0007685A"/>
    <w:rsid w:val="00090742"/>
    <w:rsid w:val="000E3A1A"/>
    <w:rsid w:val="000F6E4D"/>
    <w:rsid w:val="00131D35"/>
    <w:rsid w:val="001B7DAE"/>
    <w:rsid w:val="00260E46"/>
    <w:rsid w:val="00292CC6"/>
    <w:rsid w:val="002E35F2"/>
    <w:rsid w:val="002F7467"/>
    <w:rsid w:val="00423765"/>
    <w:rsid w:val="00447160"/>
    <w:rsid w:val="00475EF3"/>
    <w:rsid w:val="0051460C"/>
    <w:rsid w:val="00525604"/>
    <w:rsid w:val="00576557"/>
    <w:rsid w:val="005C19B6"/>
    <w:rsid w:val="005E2050"/>
    <w:rsid w:val="00617A0A"/>
    <w:rsid w:val="00671A83"/>
    <w:rsid w:val="006D386C"/>
    <w:rsid w:val="006E4BE7"/>
    <w:rsid w:val="00702340"/>
    <w:rsid w:val="00733CA6"/>
    <w:rsid w:val="007B0EA7"/>
    <w:rsid w:val="00830A14"/>
    <w:rsid w:val="00844330"/>
    <w:rsid w:val="00850DF5"/>
    <w:rsid w:val="00865DB1"/>
    <w:rsid w:val="008B0AE7"/>
    <w:rsid w:val="00997866"/>
    <w:rsid w:val="00A45B1A"/>
    <w:rsid w:val="00B52F06"/>
    <w:rsid w:val="00B54C6E"/>
    <w:rsid w:val="00BB03EA"/>
    <w:rsid w:val="00BE223A"/>
    <w:rsid w:val="00C82D18"/>
    <w:rsid w:val="00CF1BE2"/>
    <w:rsid w:val="00D96F12"/>
    <w:rsid w:val="00DA7F7D"/>
    <w:rsid w:val="00DD12DF"/>
    <w:rsid w:val="00E125FF"/>
    <w:rsid w:val="00E4304B"/>
    <w:rsid w:val="00E44708"/>
    <w:rsid w:val="00E55566"/>
    <w:rsid w:val="00E845CA"/>
    <w:rsid w:val="00EE4866"/>
    <w:rsid w:val="00F25646"/>
    <w:rsid w:val="00F752DD"/>
    <w:rsid w:val="00F8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65B1D3"/>
  <w15:chartTrackingRefBased/>
  <w15:docId w15:val="{DABDCFF1-4B1D-468C-B24F-D06296E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B0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71A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1A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EE4866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EE486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12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125F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AE7"/>
    <w:rPr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8B0AE7"/>
    <w:rPr>
      <w:b/>
      <w:bCs/>
    </w:rPr>
  </w:style>
  <w:style w:type="paragraph" w:styleId="Paragrafoelenco">
    <w:name w:val="List Paragraph"/>
    <w:basedOn w:val="Normale"/>
    <w:uiPriority w:val="34"/>
    <w:qFormat/>
    <w:rsid w:val="006E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e.ecevolution.it/loginServlet?encParam=5A609037C3FD53161B3A7340F3BA77D98EA782AB51A64B3E68FF6FAF02F5543203006657BC79E7B436D85D372E6EE451B6AC7A3155DC1A559DB187B4985D972B83A70D8B6E788D2CD77FA2FEAD4C74E87A7F13EC6600967C752A531F0C8F92BCC5131CE4F4E8806EAF6E01D45032CC41E17D63273B131C149CE0950172549BCB8D9CC79A6E381304CBD91380B56B8A21D3206A7E94DE78DE979A49E714BD2BAFD68E4C52F0258811E9A0042F32BAC99CCC3D8DF742A7AADE0B404D803047CB5DAD945CECE03A23A42FF189AB94B055D2" TargetMode="External"/><Relationship Id="rId13" Type="http://schemas.openxmlformats.org/officeDocument/2006/relationships/hyperlink" Target="https://portale.ecevolution.it/loginServlet?encParam=5A609037C3FD53161B3A7340F3BA77D9F0A37C4D827B76C8F51B584BD7AE35486F92B1BF3C5463E0CC7A854FF3A17C232C2DD029AE94EFC15C8207C158341F6FF01D0FE2DF408259B896B8DF4E44CB99D445322DCB10E5A048FFD9A52D1311F5F782A280E2F3DBB1FF2A0BACD7C8D26714795E41649CDDFC700F5F5D5576212B9CE7C2DF514285661A1102CA10DAEDDDE9C871C7E0ADEBC0912E99841301711263DF5DC60A4D452B52F343D4A9382728B9946157BC536DCFE9B48EA6A75099087D804E365250CB1C3AB48DBEE394DC3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news.it/convertito-in-legge-il-sostegni-bis-ufficiale-la-proroga-al-15-settembr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e.ecevolution.it/loginServlet?encParam=5A609037C3FD53161B3A7340F3BA77D98EA782AB51A64B3E76200C0B46237202564E1593B8CFC77EC682E9CCCF4325EFC993F269FB61AC94700F3296E93B1CA2E9BF57D5209B76B6D8C63059C79123251F888FF05077C91A7B84DD44A658B07B24E60916595696DB2167328889EB5D80888A9C9F63F645040EFBCDB3C295FB23EC8AD446FB5E21813B4D57CE4028E40391EE8F87350AA918851B2C50F87A986114A04A95B7F41EE59F162DBC150774282A9598695273C90FB75752CD4ED5246F05C0ADC8F5F61CF10CE9F357A1B5218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ortale.ecevolution.it/loginServlet?encParam=5A609037C3FD53161B3A7340F3BA77D98EA782AB51A64B3E2473BA79E7908AB0F4A09E5977BB4840D92B7A93EA38A43E00B39051803CB499175BA466E8F3D846DBF91EC5E6961FB8C94374CEE94FCCE6A4852BE2EE40EDEBB445EB4714819C13E15DBDD0AD0C7DDF4D6938C07C22CE3B1FB64A72B5301E9701F639DD1CDE53EE50169E9A547C6D53DC96FFDCDE45D653108C203ED25AA144214993A6CD174F61490212D521ED568FC6E6B01005FF2431EA38484B6D9BD2A4BA926B9260F7C131E32D008532D1A9BA953A6A146F0DD7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e.ecevolution.it/loginServlet?encParam=5A609037C3FD53161B3A7340F3BA77D9F0A37C4D827B76C8F51B584BD7AE3548915B56D46F83442EEB3BA93FF278185F78EC872A9992046785D63062FFF7835F00EF06C682D895998C804C9ED84C1F7BB3717A041C8024F109608A6BD04820F5B2B399A5610468655874AE5E247F4535F632F7893E11B9834280831E8445054A1BCB5555C6448B82514EF6A9C25BE73A33BB5FBF3E77EB6A86F7767CA896F284CEDC86F69E0037C9C800C043B0D843D33A9E494499FD8AFBE43595360C6758694338721BC736707803A6CF356BB6669C" TargetMode="External"/><Relationship Id="rId14" Type="http://schemas.openxmlformats.org/officeDocument/2006/relationships/hyperlink" Target="https://portale.ecevolution.it/loginServlet?encParam=5A609037C3FD53161B3A7340F3BA77D98EA782AB51A64B3E68FF6FAF02F5543203006657BC79E7B436D85D372E6EE451B6AC7A3155DC1A559DB187B4985D972B83A70D8B6E788D2CD77FA2FEAD4C74E87A7F13EC6600967C752A531F0C8F92BCC5131CE4F4E8806EAF6E01D45032CC41E17D63273B131C149CE0950172549BCB8D9CC79A6E381304CBD91380B56B8A21D3206A7E94DE78DE979A49E714BD2BAFD68E4C52F0258811E9A0042F32BAC99CCC3D8DF742A7AADE0B404D803047CB5DAD945CECE03A23A42FF189AB94B055D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EF6B-91B0-4CF7-A8C7-C01240B4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Castellano</dc:creator>
  <cp:keywords/>
  <cp:lastModifiedBy>EE8761</cp:lastModifiedBy>
  <cp:revision>12</cp:revision>
  <cp:lastPrinted>2012-01-11T15:32:00Z</cp:lastPrinted>
  <dcterms:created xsi:type="dcterms:W3CDTF">2015-03-23T10:52:00Z</dcterms:created>
  <dcterms:modified xsi:type="dcterms:W3CDTF">2021-08-03T16:24:00Z</dcterms:modified>
</cp:coreProperties>
</file>